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Beautiful” Solo Exhibit With Sotheby’s In Mexico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2012-04-18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css=".vc_custom_1627578437520{margin-right: 50px !important;margin-left: 50px !important;}"]JTNDY2VudGVyJTNFJTNDcCUyMGNsYXNzJTNEJTIyYmxvZy10YWclMjIlM0VFeGhpYml0JTNDJTJGcCUzRSUzQyUyRmNlbnRlciUzRQ==[/vc_raw_html][/vc_column][vc_column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“Life is Beautiful” Solo Exhibit With Sotheby’s In Mexico City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April 18, 2012</w:t>
      </w:r>
    </w:p>
    <w:p>
      <w:r>
        <w:t xml:space="preserve">[/vc_column_text][vc_column_text]Following the massive LA show, 2012 only got bigger. </w:t>
      </w:r>
      <w:r>
        <w:rPr>
          <w:b/>
          <w:bCs/>
        </w:rPr>
        <w:t>Sotheby’s</w:t>
      </w:r>
      <w:r>
        <w:t xml:space="preserve"> featured Mr Brainwash in a private contemporary art exhibit in Mexico, solidifying his popularity with collectors and with the world’s most well-known art houses around the globe.[/vc_column_text][/vc_column][vc_column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column_border_style="solid"][image_with_animation image_url="6048" animation="Fade In" hover_animation="none" alignment="center" border_radius="none" box_shadow="medium_depth" image_loading="default" max_width="100%" max_width_mobile="default"][/vc_column][/vc_row]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Beautiful” Solo Exhibit With Sotheby’s In Mexico City</dc:title>
  <cp:revision>0</cp:revision>
</cp:coreProperties>
</file>